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(название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отказе в получении пострадавшим акта формы Н-1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Мы, нижеподписавшиеся: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(Ф.И.О., должность/профессия, место работы)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присутствии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 xml:space="preserve">(Ф.И.О., должность/профессия, место работы пострадавшего)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составили настоящий акт о нижеследующем: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 в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час.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мин.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был вручен акт формы Н-1 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, составленный по результатам комиссионного расследования, проведенного в период с 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 по 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г., однако пострадавший отказался в получении указанного акта формы Н-1, мотивируя тем, что он не согласен с результатами расследования несчастного случая, произошедшего с ним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Работнику разъяснен порядок обжалования результатов расследования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актом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(Ф.И.О.)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3060f3703c74e9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